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19D3" w14:textId="77777777" w:rsidR="004E4592" w:rsidRDefault="00975A7C">
      <w:pPr>
        <w:spacing w:after="254" w:line="259" w:lineRule="auto"/>
        <w:ind w:left="11" w:right="10" w:hanging="10"/>
        <w:jc w:val="center"/>
      </w:pPr>
      <w:r>
        <w:rPr>
          <w:b/>
          <w:sz w:val="32"/>
        </w:rPr>
        <w:t xml:space="preserve">ITSASONDOKO </w:t>
      </w:r>
      <w:r>
        <w:rPr>
          <w:b/>
          <w:color w:val="0084D1"/>
          <w:sz w:val="32"/>
        </w:rPr>
        <w:t>LIBURUTEGI</w:t>
      </w:r>
      <w:r>
        <w:rPr>
          <w:b/>
          <w:sz w:val="32"/>
        </w:rPr>
        <w:t xml:space="preserve"> - ko  </w:t>
      </w:r>
    </w:p>
    <w:p w14:paraId="5BAA60E8" w14:textId="77777777" w:rsidR="004E4592" w:rsidRDefault="00975A7C">
      <w:pPr>
        <w:spacing w:after="146" w:line="259" w:lineRule="auto"/>
        <w:ind w:left="11" w:right="9" w:hanging="10"/>
        <w:jc w:val="center"/>
      </w:pPr>
      <w:r>
        <w:rPr>
          <w:b/>
          <w:sz w:val="32"/>
        </w:rPr>
        <w:t xml:space="preserve">ARAUTEGI OROKORRA </w:t>
      </w:r>
    </w:p>
    <w:p w14:paraId="32549965" w14:textId="77777777" w:rsidR="004E4592" w:rsidRDefault="00975A7C">
      <w:pPr>
        <w:pStyle w:val="Ttulo1"/>
        <w:ind w:left="-5"/>
      </w:pPr>
      <w:r>
        <w:t xml:space="preserve">DESKRIBAPENA </w:t>
      </w:r>
    </w:p>
    <w:p w14:paraId="728D8DDB" w14:textId="77777777" w:rsidR="004E4592" w:rsidRDefault="00975A7C">
      <w:pPr>
        <w:spacing w:after="240"/>
        <w:ind w:left="0" w:right="0" w:firstLine="0"/>
      </w:pPr>
      <w:r>
        <w:t xml:space="preserve">Liburutegia irakurri edota lanak egiteko espazioa da. Udaletxeko beheko solairuan kokatzen da eta bertara </w:t>
      </w:r>
      <w:proofErr w:type="spellStart"/>
      <w:r>
        <w:t>edonork</w:t>
      </w:r>
      <w:proofErr w:type="spellEnd"/>
      <w:r>
        <w:t xml:space="preserve"> izan dezake sarbidea. Zerbitzu honetan liburuak maileguz hartzeaz gain, lanak edota ikasteko txokoa ere badago eta baita </w:t>
      </w:r>
      <w:proofErr w:type="spellStart"/>
      <w:r>
        <w:t>Kzguneak</w:t>
      </w:r>
      <w:proofErr w:type="spellEnd"/>
      <w:r>
        <w:t xml:space="preserve"> kudeatzen di</w:t>
      </w:r>
      <w:r>
        <w:t xml:space="preserve">tuen bi ordenagailu ere. Espazioaren erabilera autonomoa da eta beraz, ezinbestekoa izango da guztion artean ondo zaintzea. </w:t>
      </w:r>
    </w:p>
    <w:p w14:paraId="3B88066A" w14:textId="77777777" w:rsidR="004E4592" w:rsidRDefault="00975A7C">
      <w:pPr>
        <w:pStyle w:val="Ttulo1"/>
        <w:spacing w:after="384"/>
        <w:ind w:left="-5"/>
      </w:pPr>
      <w:r>
        <w:t xml:space="preserve">NORENTZAT </w:t>
      </w:r>
    </w:p>
    <w:p w14:paraId="6C6AF416" w14:textId="77777777" w:rsidR="004E4592" w:rsidRDefault="00975A7C">
      <w:pPr>
        <w:spacing w:after="211" w:line="364" w:lineRule="auto"/>
        <w:ind w:left="0" w:right="4" w:firstLine="0"/>
      </w:pPr>
      <w:r>
        <w:t>Liburutegia herritar ororentzako zerbitzua da. I</w:t>
      </w:r>
      <w:r>
        <w:rPr>
          <w:rFonts w:ascii="Calibri" w:eastAsia="Calibri" w:hAnsi="Calibri" w:cs="Calibri"/>
          <w:sz w:val="24"/>
        </w:rPr>
        <w:t>tsasondokoa ez denak ere txartela egin dezake, ikasteko espazio gisa era</w:t>
      </w:r>
      <w:r>
        <w:rPr>
          <w:rFonts w:ascii="Calibri" w:eastAsia="Calibri" w:hAnsi="Calibri" w:cs="Calibri"/>
          <w:sz w:val="24"/>
        </w:rPr>
        <w:t xml:space="preserve">biltzeko, baina liburutegiaren erabileran jende gehiegi badago, udalak herritarrengan jarriko du lehentasuna. </w:t>
      </w:r>
    </w:p>
    <w:p w14:paraId="5E22D931" w14:textId="77777777" w:rsidR="004E4592" w:rsidRDefault="00975A7C">
      <w:pPr>
        <w:pStyle w:val="Ttulo1"/>
        <w:ind w:left="-5"/>
      </w:pPr>
      <w:r>
        <w:t xml:space="preserve">SARBIDEA </w:t>
      </w:r>
    </w:p>
    <w:p w14:paraId="79F30789" w14:textId="77777777" w:rsidR="004E4592" w:rsidRDefault="00975A7C">
      <w:pPr>
        <w:spacing w:after="303" w:line="259" w:lineRule="auto"/>
        <w:ind w:left="0" w:right="0" w:firstLine="0"/>
      </w:pPr>
      <w:r>
        <w:t xml:space="preserve">Bertara sartu ahal izateko honakoa izan beharko dugu kontuan: </w:t>
      </w:r>
    </w:p>
    <w:p w14:paraId="7B7511B2" w14:textId="77777777" w:rsidR="004E4592" w:rsidRDefault="00975A7C">
      <w:pPr>
        <w:numPr>
          <w:ilvl w:val="0"/>
          <w:numId w:val="1"/>
        </w:numPr>
        <w:ind w:right="0" w:hanging="360"/>
      </w:pPr>
      <w:r>
        <w:t xml:space="preserve">0 – 10 urte bitarteko haurrek </w:t>
      </w:r>
      <w:r>
        <w:rPr>
          <w:b/>
        </w:rPr>
        <w:t>guraso edota heldu batez lagunduta</w:t>
      </w:r>
      <w:r>
        <w:t xml:space="preserve"> sartu b</w:t>
      </w:r>
      <w:r>
        <w:t xml:space="preserve">eharko dute. </w:t>
      </w:r>
    </w:p>
    <w:p w14:paraId="5534CE7A" w14:textId="77777777" w:rsidR="004E4592" w:rsidRDefault="00975A7C">
      <w:pPr>
        <w:numPr>
          <w:ilvl w:val="0"/>
          <w:numId w:val="1"/>
        </w:numPr>
        <w:ind w:right="0" w:hanging="360"/>
      </w:pPr>
      <w:r>
        <w:t xml:space="preserve">10 – 16 urte bitartekoak </w:t>
      </w:r>
      <w:r>
        <w:rPr>
          <w:b/>
        </w:rPr>
        <w:t xml:space="preserve">gurasoen txartelarekin </w:t>
      </w:r>
      <w:r>
        <w:t>bakarrik sartu ahalko dira, betiere jarrera ona izaten badute. Jarrera txarraren aurrean (zalapartaka ibili, liskarrak izan, gauzak jaso gabe utzi, materiala ardura gabe erabili...) arreta adine</w:t>
      </w:r>
      <w:r>
        <w:t xml:space="preserve">ko </w:t>
      </w:r>
      <w:proofErr w:type="spellStart"/>
      <w:r>
        <w:t>edonork</w:t>
      </w:r>
      <w:proofErr w:type="spellEnd"/>
      <w:r>
        <w:t xml:space="preserve"> dei diezaieke eta udalak neurriak hartu ahal izango ditu. </w:t>
      </w:r>
    </w:p>
    <w:p w14:paraId="65E1FF0D" w14:textId="77777777" w:rsidR="004E4592" w:rsidRDefault="00975A7C">
      <w:pPr>
        <w:numPr>
          <w:ilvl w:val="0"/>
          <w:numId w:val="1"/>
        </w:numPr>
        <w:spacing w:after="304" w:line="259" w:lineRule="auto"/>
        <w:ind w:right="0" w:hanging="360"/>
      </w:pPr>
      <w:r>
        <w:t xml:space="preserve">16 urtetik aurrera </w:t>
      </w:r>
      <w:r>
        <w:rPr>
          <w:b/>
        </w:rPr>
        <w:t>txartela</w:t>
      </w:r>
      <w:r>
        <w:t xml:space="preserve"> egin ahalko da. </w:t>
      </w:r>
    </w:p>
    <w:p w14:paraId="2A0282AC" w14:textId="77777777" w:rsidR="004E4592" w:rsidRDefault="00975A7C">
      <w:pPr>
        <w:spacing w:after="310" w:line="259" w:lineRule="auto"/>
        <w:ind w:left="-5" w:right="0" w:hanging="10"/>
        <w:jc w:val="left"/>
      </w:pPr>
      <w:r>
        <w:rPr>
          <w:b/>
          <w:shd w:val="clear" w:color="auto" w:fill="FFD320"/>
        </w:rPr>
        <w:t>Nola egingo dugu sarbide txartela?</w:t>
      </w:r>
      <w:r>
        <w:rPr>
          <w:b/>
        </w:rPr>
        <w:t xml:space="preserve"> </w:t>
      </w:r>
    </w:p>
    <w:p w14:paraId="3D5BB802" w14:textId="77777777" w:rsidR="004E4592" w:rsidRDefault="00975A7C">
      <w:pPr>
        <w:numPr>
          <w:ilvl w:val="0"/>
          <w:numId w:val="1"/>
        </w:numPr>
        <w:spacing w:line="259" w:lineRule="auto"/>
        <w:ind w:right="0" w:hanging="360"/>
      </w:pPr>
      <w:r>
        <w:t xml:space="preserve">Txartelaren kostua 3 €takoa da. </w:t>
      </w:r>
    </w:p>
    <w:p w14:paraId="02AEEF0F" w14:textId="77777777" w:rsidR="004E4592" w:rsidRDefault="00975A7C">
      <w:pPr>
        <w:ind w:left="720" w:right="0" w:firstLine="0"/>
      </w:pPr>
      <w:r>
        <w:t xml:space="preserve">Txartela udalean egin beharko da, aurrez aurreko harreran (astelehenetik ostiralera 8:30 – 14:00). </w:t>
      </w:r>
    </w:p>
    <w:p w14:paraId="0C15CD1F" w14:textId="77777777" w:rsidR="004E4592" w:rsidRDefault="00975A7C">
      <w:pPr>
        <w:numPr>
          <w:ilvl w:val="0"/>
          <w:numId w:val="1"/>
        </w:numPr>
        <w:spacing w:after="237"/>
        <w:ind w:right="0" w:hanging="360"/>
      </w:pPr>
      <w:r>
        <w:lastRenderedPageBreak/>
        <w:t>Txartela eskuratzeko eskabide orria bete beharko da eta horretarako nahikoa izango da arduradunaren datuak jartzea (izen-abizenak, DNI zenbakia, posta elekt</w:t>
      </w:r>
      <w:r>
        <w:t xml:space="preserve">ronikoa, telefono zenbakia...). </w:t>
      </w:r>
    </w:p>
    <w:p w14:paraId="3B6ADA5B" w14:textId="77777777" w:rsidR="004E4592" w:rsidRDefault="00975A7C">
      <w:pPr>
        <w:pStyle w:val="Ttulo1"/>
        <w:ind w:left="-5"/>
      </w:pPr>
      <w:r>
        <w:t xml:space="preserve">ESPAZIOA ERABILTZEKO ARGIBIDEAK </w:t>
      </w:r>
    </w:p>
    <w:p w14:paraId="0D47B975" w14:textId="77777777" w:rsidR="004E4592" w:rsidRDefault="00975A7C">
      <w:pPr>
        <w:spacing w:after="310" w:line="259" w:lineRule="auto"/>
        <w:ind w:left="-5" w:right="0" w:hanging="10"/>
        <w:jc w:val="left"/>
      </w:pPr>
      <w:r>
        <w:rPr>
          <w:b/>
          <w:shd w:val="clear" w:color="auto" w:fill="FFD320"/>
        </w:rPr>
        <w:t>Ordutegia eta erabilera egunak</w:t>
      </w:r>
      <w:r>
        <w:rPr>
          <w:b/>
        </w:rPr>
        <w:t xml:space="preserve"> </w:t>
      </w:r>
    </w:p>
    <w:p w14:paraId="13A270FC" w14:textId="77777777" w:rsidR="004E4592" w:rsidRDefault="00975A7C">
      <w:pPr>
        <w:spacing w:after="302" w:line="259" w:lineRule="auto"/>
        <w:ind w:left="345" w:right="0" w:firstLine="0"/>
      </w:pPr>
      <w:r>
        <w:rPr>
          <w:rFonts w:ascii="Wingdings 2" w:eastAsia="Wingdings 2" w:hAnsi="Wingdings 2" w:cs="Wingdings 2"/>
        </w:rPr>
        <w:t></w:t>
      </w:r>
      <w:r>
        <w:t xml:space="preserve"> Liburutegia 24 orduz erabili ahalko da, astelehenetik igandera bitarte. </w:t>
      </w:r>
    </w:p>
    <w:p w14:paraId="59D51EDB" w14:textId="77777777" w:rsidR="004E4592" w:rsidRDefault="00975A7C">
      <w:pPr>
        <w:pStyle w:val="Ttulo2"/>
        <w:ind w:left="-5"/>
      </w:pPr>
      <w:proofErr w:type="spellStart"/>
      <w:r>
        <w:t>Erabilera</w:t>
      </w:r>
      <w:proofErr w:type="spellEnd"/>
      <w:r>
        <w:t xml:space="preserve"> </w:t>
      </w:r>
      <w:proofErr w:type="spellStart"/>
      <w:r>
        <w:t>partekatua</w:t>
      </w:r>
      <w:proofErr w:type="spellEnd"/>
      <w:r>
        <w:rPr>
          <w:shd w:val="clear" w:color="auto" w:fill="auto"/>
        </w:rPr>
        <w:t xml:space="preserve"> </w:t>
      </w:r>
    </w:p>
    <w:p w14:paraId="600D90F2" w14:textId="77777777" w:rsidR="004E4592" w:rsidRDefault="00975A7C">
      <w:pPr>
        <w:numPr>
          <w:ilvl w:val="0"/>
          <w:numId w:val="2"/>
        </w:numPr>
        <w:ind w:right="0" w:hanging="360"/>
      </w:pPr>
      <w:r>
        <w:t>Eskolako haur eta irakasleak goiz batzuetan liburutegian egot</w:t>
      </w:r>
      <w:r>
        <w:t xml:space="preserve">en dira eta beraz, hau errespetatu beharko da. </w:t>
      </w:r>
    </w:p>
    <w:p w14:paraId="037E8882" w14:textId="77777777" w:rsidR="004E4592" w:rsidRDefault="00975A7C">
      <w:pPr>
        <w:numPr>
          <w:ilvl w:val="0"/>
          <w:numId w:val="2"/>
        </w:numPr>
        <w:ind w:right="0" w:hanging="360"/>
      </w:pPr>
      <w:proofErr w:type="spellStart"/>
      <w:r>
        <w:t>KzGuneak</w:t>
      </w:r>
      <w:proofErr w:type="spellEnd"/>
      <w:r>
        <w:t xml:space="preserve">, udalarekin elkarlanean, noizbehinka informatika edota telefonia ikastaroak antolatzen ditu eta hauek ikasteko gelan egiten dira. </w:t>
      </w:r>
    </w:p>
    <w:p w14:paraId="2847889E" w14:textId="77777777" w:rsidR="004E4592" w:rsidRDefault="00975A7C">
      <w:pPr>
        <w:numPr>
          <w:ilvl w:val="0"/>
          <w:numId w:val="2"/>
        </w:numPr>
        <w:spacing w:after="302" w:line="259" w:lineRule="auto"/>
        <w:ind w:right="0" w:hanging="360"/>
      </w:pPr>
      <w:r>
        <w:t>Liburutegirako lehentasuna udalak izango du bertan antolaturiko ekit</w:t>
      </w:r>
      <w:r>
        <w:t xml:space="preserve">aldietan. </w:t>
      </w:r>
    </w:p>
    <w:p w14:paraId="5B50E160" w14:textId="77777777" w:rsidR="004E4592" w:rsidRDefault="00975A7C">
      <w:pPr>
        <w:pStyle w:val="Ttulo2"/>
        <w:ind w:left="-5"/>
      </w:pPr>
      <w:proofErr w:type="spellStart"/>
      <w:r>
        <w:t>Erabilera</w:t>
      </w:r>
      <w:proofErr w:type="spellEnd"/>
      <w:r>
        <w:t xml:space="preserve"> </w:t>
      </w:r>
      <w:proofErr w:type="spellStart"/>
      <w:r>
        <w:t>arauak</w:t>
      </w:r>
      <w:proofErr w:type="spellEnd"/>
      <w:r>
        <w:rPr>
          <w:shd w:val="clear" w:color="auto" w:fill="auto"/>
        </w:rPr>
        <w:t xml:space="preserve"> </w:t>
      </w:r>
    </w:p>
    <w:p w14:paraId="48E300C2" w14:textId="77777777" w:rsidR="004E4592" w:rsidRDefault="00975A7C">
      <w:pPr>
        <w:numPr>
          <w:ilvl w:val="0"/>
          <w:numId w:val="3"/>
        </w:numPr>
        <w:ind w:right="0" w:hanging="360"/>
      </w:pPr>
      <w:r>
        <w:t xml:space="preserve">Liburutegia isilik egin behar da, ozen hitz egitea ez da batere lagungarria liburutegian dauden beste irakurleentzat. Era berean, haurrak irakurtzeaz aspertu eta aztoratzen direnean, joateko ordua da. </w:t>
      </w:r>
    </w:p>
    <w:p w14:paraId="47A0E6FF" w14:textId="77777777" w:rsidR="004E4592" w:rsidRDefault="00975A7C">
      <w:pPr>
        <w:numPr>
          <w:ilvl w:val="0"/>
          <w:numId w:val="3"/>
        </w:numPr>
        <w:spacing w:after="307" w:line="259" w:lineRule="auto"/>
        <w:ind w:right="0" w:hanging="360"/>
      </w:pPr>
      <w:r>
        <w:t xml:space="preserve">Debekatuta dago edozein motako janari edo edarirekin sartzea.  </w:t>
      </w:r>
    </w:p>
    <w:p w14:paraId="02CA9A49" w14:textId="77777777" w:rsidR="004E4592" w:rsidRDefault="00975A7C">
      <w:pPr>
        <w:numPr>
          <w:ilvl w:val="0"/>
          <w:numId w:val="3"/>
        </w:numPr>
        <w:ind w:right="0" w:hanging="360"/>
      </w:pPr>
      <w:r>
        <w:t xml:space="preserve">Altzariak, ekipoak eta funtsa (liburuak, DVD-ak...) ezin dira tokiz aldatu, hondatu edo behar ez bezala erabili. Norbaitek zerbait hondatzen baud, konponketa ordainduko du. </w:t>
      </w:r>
    </w:p>
    <w:p w14:paraId="318D873C" w14:textId="77777777" w:rsidR="004E4592" w:rsidRDefault="00975A7C">
      <w:pPr>
        <w:numPr>
          <w:ilvl w:val="0"/>
          <w:numId w:val="3"/>
        </w:numPr>
        <w:ind w:right="0" w:hanging="360"/>
      </w:pPr>
      <w:r>
        <w:t xml:space="preserve">Ez dago telefono mugikorra erabiltzerik, ezta jolasteko ere; itzalita edo soinuri gabe eduki behar da. Halaber, ezin da irudirik grabatu edo argazkirik atera. </w:t>
      </w:r>
    </w:p>
    <w:p w14:paraId="1D89E2CA" w14:textId="77777777" w:rsidR="004E4592" w:rsidRDefault="00975A7C">
      <w:pPr>
        <w:spacing w:after="305" w:line="259" w:lineRule="auto"/>
        <w:ind w:left="720" w:right="0" w:firstLine="0"/>
      </w:pPr>
      <w:r>
        <w:t xml:space="preserve">Animaliarik ezin da sartu, txakur itsu-gidariak izan ezik. </w:t>
      </w:r>
    </w:p>
    <w:p w14:paraId="4DCE2FA1" w14:textId="77777777" w:rsidR="004E4592" w:rsidRDefault="00975A7C">
      <w:pPr>
        <w:numPr>
          <w:ilvl w:val="0"/>
          <w:numId w:val="3"/>
        </w:numPr>
        <w:spacing w:after="304" w:line="259" w:lineRule="auto"/>
        <w:ind w:right="0" w:hanging="360"/>
      </w:pPr>
      <w:r>
        <w:t>Ezin dira irakurgelak erabili eskula</w:t>
      </w:r>
      <w:r>
        <w:t xml:space="preserve">nak egiteko (guraize, kola...) </w:t>
      </w:r>
    </w:p>
    <w:p w14:paraId="7A0621EE" w14:textId="77777777" w:rsidR="004E4592" w:rsidRDefault="00975A7C">
      <w:pPr>
        <w:spacing w:after="307" w:line="259" w:lineRule="auto"/>
        <w:ind w:left="0" w:right="0" w:firstLine="0"/>
        <w:jc w:val="left"/>
      </w:pPr>
      <w:r>
        <w:rPr>
          <w:b/>
        </w:rPr>
        <w:t xml:space="preserve">Ikasteko Gela </w:t>
      </w:r>
    </w:p>
    <w:p w14:paraId="58509D9F" w14:textId="77777777" w:rsidR="004E4592" w:rsidRDefault="00975A7C">
      <w:pPr>
        <w:numPr>
          <w:ilvl w:val="0"/>
          <w:numId w:val="3"/>
        </w:numPr>
        <w:ind w:right="0" w:hanging="360"/>
      </w:pPr>
      <w:r>
        <w:lastRenderedPageBreak/>
        <w:t xml:space="preserve">Ikasteko edota lanak egiteko egokitutako gelan isiltasuna beharrezkoa izango da, kideak errespetatuz. </w:t>
      </w:r>
    </w:p>
    <w:p w14:paraId="27BBC7D6" w14:textId="77777777" w:rsidR="004E4592" w:rsidRDefault="00975A7C">
      <w:pPr>
        <w:numPr>
          <w:ilvl w:val="0"/>
          <w:numId w:val="3"/>
        </w:numPr>
        <w:spacing w:after="305" w:line="259" w:lineRule="auto"/>
        <w:ind w:right="0" w:hanging="360"/>
      </w:pPr>
      <w:r>
        <w:t xml:space="preserve">Bertako altzari eta materialak ere behar bezala zainduko dira. </w:t>
      </w:r>
    </w:p>
    <w:p w14:paraId="69EE25DF" w14:textId="77777777" w:rsidR="004E4592" w:rsidRDefault="00975A7C">
      <w:pPr>
        <w:numPr>
          <w:ilvl w:val="0"/>
          <w:numId w:val="3"/>
        </w:numPr>
        <w:ind w:right="0" w:hanging="360"/>
      </w:pPr>
      <w:r>
        <w:t>Giltza galduz gero, lehenbailehen horren b</w:t>
      </w:r>
      <w:r>
        <w:t xml:space="preserve">erri udaletxean eman beharko da. Giltza berriak </w:t>
      </w:r>
      <w:proofErr w:type="spellStart"/>
      <w:r>
        <w:t>suposatzen</w:t>
      </w:r>
      <w:proofErr w:type="spellEnd"/>
      <w:r>
        <w:t xml:space="preserve"> duen kostua erabiltzailearen gain izango da. </w:t>
      </w:r>
    </w:p>
    <w:p w14:paraId="702FC0A3" w14:textId="77777777" w:rsidR="004E4592" w:rsidRDefault="00975A7C">
      <w:pPr>
        <w:spacing w:after="345" w:line="259" w:lineRule="auto"/>
        <w:ind w:left="641" w:right="0" w:firstLine="0"/>
        <w:jc w:val="left"/>
      </w:pPr>
      <w:r>
        <w:rPr>
          <w:b/>
          <w:color w:val="C5000B"/>
        </w:rPr>
        <w:t xml:space="preserve">Erabilera okerraren aurrean udalak edonori kendu diezaioke txartela. </w:t>
      </w:r>
    </w:p>
    <w:p w14:paraId="72FE2B3E" w14:textId="77777777" w:rsidR="004E4592" w:rsidRDefault="00975A7C">
      <w:pPr>
        <w:pStyle w:val="Ttulo1"/>
        <w:ind w:left="-5"/>
      </w:pPr>
      <w:r>
        <w:t xml:space="preserve">MAILEGUAK NOLA KUDEATU  </w:t>
      </w:r>
    </w:p>
    <w:p w14:paraId="1BCDD772" w14:textId="77777777" w:rsidR="004E4592" w:rsidRDefault="00975A7C">
      <w:pPr>
        <w:numPr>
          <w:ilvl w:val="0"/>
          <w:numId w:val="4"/>
        </w:numPr>
        <w:ind w:right="0" w:hanging="360"/>
      </w:pPr>
      <w:r>
        <w:t xml:space="preserve">Liburuak hartzerako garaian, irakurleak bere datuak eta </w:t>
      </w:r>
      <w:r>
        <w:t xml:space="preserve">liburuaren datuak bete beharko ditu horretarako jarriko diren orrietan. Liburua itzultzen denean ere, apuntatu behar da itzulera data. </w:t>
      </w:r>
    </w:p>
    <w:p w14:paraId="42CEF5DF" w14:textId="77777777" w:rsidR="004E4592" w:rsidRDefault="00975A7C">
      <w:pPr>
        <w:numPr>
          <w:ilvl w:val="0"/>
          <w:numId w:val="4"/>
        </w:numPr>
        <w:spacing w:after="307" w:line="259" w:lineRule="auto"/>
        <w:ind w:right="0" w:hanging="360"/>
      </w:pPr>
      <w:r>
        <w:t>Liburuak itzultzeko</w:t>
      </w:r>
      <w:r>
        <w:rPr>
          <w:b/>
          <w:color w:val="FF0000"/>
        </w:rPr>
        <w:t xml:space="preserve"> epea 20 egunekoa</w:t>
      </w:r>
      <w:r>
        <w:t xml:space="preserve"> izango da gehienez. </w:t>
      </w:r>
    </w:p>
    <w:p w14:paraId="18BB5477" w14:textId="77777777" w:rsidR="004E4592" w:rsidRDefault="00975A7C">
      <w:pPr>
        <w:numPr>
          <w:ilvl w:val="0"/>
          <w:numId w:val="4"/>
        </w:numPr>
        <w:ind w:right="0" w:hanging="360"/>
      </w:pPr>
      <w:r>
        <w:t xml:space="preserve">Liburuak itzultzean, horretarako jarritako saskitxoan utzi behar da, arduradunak jarriko du berriro ere bere lekuan. </w:t>
      </w:r>
    </w:p>
    <w:p w14:paraId="65A414A6" w14:textId="77777777" w:rsidR="004E4592" w:rsidRDefault="00975A7C">
      <w:pPr>
        <w:numPr>
          <w:ilvl w:val="0"/>
          <w:numId w:val="4"/>
        </w:numPr>
        <w:spacing w:after="240"/>
        <w:ind w:right="0" w:hanging="360"/>
      </w:pPr>
      <w:r>
        <w:rPr>
          <w:b/>
        </w:rPr>
        <w:t xml:space="preserve">Liburutegi arteko Mailegu Zerbitzua: </w:t>
      </w:r>
      <w:r>
        <w:t>beste liburutegietan dauden liburuak ekarri nahi izanez gero, liburutegiko arduradunari eskatu behark</w:t>
      </w:r>
      <w:r>
        <w:t xml:space="preserve">o zaio zuzenean edota </w:t>
      </w:r>
      <w:proofErr w:type="spellStart"/>
      <w:r>
        <w:t>email</w:t>
      </w:r>
      <w:proofErr w:type="spellEnd"/>
      <w:r>
        <w:t xml:space="preserve"> bat bidaliz </w:t>
      </w:r>
      <w:r>
        <w:rPr>
          <w:color w:val="0000FF"/>
          <w:u w:val="single" w:color="0000FF"/>
        </w:rPr>
        <w:t>itsasondokoliburutegia@gmail.com</w:t>
      </w:r>
      <w:r>
        <w:t xml:space="preserve"> helbidera. Hauen kasuan itzultze data epean bete beharko da. </w:t>
      </w:r>
    </w:p>
    <w:p w14:paraId="62B8FFB7" w14:textId="77777777" w:rsidR="004E4592" w:rsidRDefault="00975A7C">
      <w:pPr>
        <w:pStyle w:val="Ttulo1"/>
        <w:ind w:left="-5"/>
      </w:pPr>
      <w:r>
        <w:t xml:space="preserve">GARBIKETA </w:t>
      </w:r>
    </w:p>
    <w:p w14:paraId="6E370065" w14:textId="77777777" w:rsidR="004E4592" w:rsidRDefault="00975A7C">
      <w:pPr>
        <w:spacing w:after="105" w:line="259" w:lineRule="auto"/>
        <w:ind w:left="345" w:right="0" w:firstLine="0"/>
      </w:pPr>
      <w:r>
        <w:rPr>
          <w:rFonts w:ascii="Wingdings 2" w:eastAsia="Wingdings 2" w:hAnsi="Wingdings 2" w:cs="Wingdings 2"/>
        </w:rPr>
        <w:t></w:t>
      </w:r>
      <w:r>
        <w:t xml:space="preserve"> Erabiltzaileak, eguna bukatzean, zegoen bezala utzi beharko du espazioa. </w:t>
      </w:r>
    </w:p>
    <w:p w14:paraId="4F1718A1" w14:textId="77777777" w:rsidR="004E4592" w:rsidRDefault="00975A7C">
      <w:pPr>
        <w:spacing w:line="259" w:lineRule="auto"/>
        <w:ind w:left="720" w:right="0" w:firstLine="0"/>
      </w:pPr>
      <w:r>
        <w:t>Sortutako zaborra korridorean daud</w:t>
      </w:r>
      <w:r>
        <w:t xml:space="preserve">en zabor ontzietara bota beharko du. </w:t>
      </w:r>
    </w:p>
    <w:p w14:paraId="4418AEBB" w14:textId="77777777" w:rsidR="004E4592" w:rsidRDefault="00975A7C">
      <w:pPr>
        <w:spacing w:after="240"/>
        <w:ind w:left="720" w:right="0" w:firstLine="0"/>
      </w:pPr>
      <w:r>
        <w:t xml:space="preserve">Astean behin udaleko garbitzaileak pasako dira haurtxokoa garbitzera, baina </w:t>
      </w:r>
      <w:r>
        <w:rPr>
          <w:b/>
        </w:rPr>
        <w:t>garbitasuna mantentzea erabiltzaileen ardura izango da</w:t>
      </w:r>
      <w:r>
        <w:t xml:space="preserve">. </w:t>
      </w:r>
    </w:p>
    <w:p w14:paraId="01F41866" w14:textId="77777777" w:rsidR="004E4592" w:rsidRDefault="00975A7C">
      <w:pPr>
        <w:pStyle w:val="Ttulo1"/>
        <w:ind w:left="-5"/>
      </w:pPr>
      <w:r>
        <w:t xml:space="preserve">MANTENUA / HORNIKUNTZA </w:t>
      </w:r>
    </w:p>
    <w:p w14:paraId="0C58BA14" w14:textId="77777777" w:rsidR="004E4592" w:rsidRDefault="00975A7C">
      <w:pPr>
        <w:numPr>
          <w:ilvl w:val="0"/>
          <w:numId w:val="5"/>
        </w:numPr>
        <w:ind w:right="0" w:hanging="360"/>
      </w:pPr>
      <w:r>
        <w:t>Materiala falta bada edo iradokizunen bat badago, udaleko har</w:t>
      </w:r>
      <w:r>
        <w:t xml:space="preserve">reran egin beharko da eskaria edo </w:t>
      </w:r>
      <w:r>
        <w:rPr>
          <w:color w:val="0000FF"/>
          <w:u w:val="single" w:color="0000FF"/>
        </w:rPr>
        <w:t>itsasondokoliburutegia@gmail.com</w:t>
      </w:r>
      <w:r>
        <w:t xml:space="preserve"> helbide elektronikora idatzita. </w:t>
      </w:r>
    </w:p>
    <w:p w14:paraId="74EDB116" w14:textId="408C8883" w:rsidR="004E4592" w:rsidRDefault="00975A7C" w:rsidP="000A142C">
      <w:pPr>
        <w:numPr>
          <w:ilvl w:val="0"/>
          <w:numId w:val="5"/>
        </w:numPr>
        <w:spacing w:after="307" w:line="259" w:lineRule="auto"/>
        <w:ind w:left="0" w:right="0" w:firstLine="0"/>
        <w:jc w:val="left"/>
      </w:pPr>
      <w:r>
        <w:t xml:space="preserve">Neguan, berogailua erabili nahi izanez gero, sarrerako botoia sakatu eta ordubetez martxan egongo da. </w:t>
      </w:r>
    </w:p>
    <w:sectPr w:rsidR="004E4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8" w:bottom="1440" w:left="1440" w:header="706" w:footer="1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77BA" w14:textId="77777777" w:rsidR="00975A7C" w:rsidRDefault="00975A7C">
      <w:pPr>
        <w:spacing w:after="0" w:line="240" w:lineRule="auto"/>
      </w:pPr>
      <w:r>
        <w:separator/>
      </w:r>
    </w:p>
  </w:endnote>
  <w:endnote w:type="continuationSeparator" w:id="0">
    <w:p w14:paraId="0BD32442" w14:textId="77777777" w:rsidR="00975A7C" w:rsidRDefault="0097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5D05" w14:textId="77777777" w:rsidR="004E4592" w:rsidRDefault="00975A7C">
    <w:pPr>
      <w:spacing w:after="0" w:line="259" w:lineRule="auto"/>
      <w:ind w:left="1" w:right="0" w:firstLine="0"/>
      <w:jc w:val="center"/>
    </w:pPr>
    <w:r>
      <w:rPr>
        <w:sz w:val="18"/>
      </w:rPr>
      <w:t xml:space="preserve">Nagusia 24, 20249 Itsasondo / 943 881 170 / </w:t>
    </w:r>
    <w:r>
      <w:rPr>
        <w:b/>
        <w:sz w:val="18"/>
      </w:rPr>
      <w:t xml:space="preserve">www.itsasondo.eus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99CB" w14:textId="77777777" w:rsidR="004E4592" w:rsidRDefault="00975A7C">
    <w:pPr>
      <w:spacing w:after="0" w:line="259" w:lineRule="auto"/>
      <w:ind w:left="1" w:right="0" w:firstLine="0"/>
      <w:jc w:val="center"/>
    </w:pPr>
    <w:r>
      <w:rPr>
        <w:sz w:val="18"/>
      </w:rPr>
      <w:t xml:space="preserve">Nagusia 24, </w:t>
    </w:r>
    <w:r>
      <w:rPr>
        <w:sz w:val="18"/>
      </w:rPr>
      <w:t xml:space="preserve">20249 Itsasondo / 943 881 170 / </w:t>
    </w:r>
    <w:r>
      <w:rPr>
        <w:b/>
        <w:sz w:val="18"/>
      </w:rPr>
      <w:t xml:space="preserve">www.itsasondo.eus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212C" w14:textId="77777777" w:rsidR="004E4592" w:rsidRDefault="00975A7C">
    <w:pPr>
      <w:spacing w:after="0" w:line="259" w:lineRule="auto"/>
      <w:ind w:left="1" w:right="0" w:firstLine="0"/>
      <w:jc w:val="center"/>
    </w:pPr>
    <w:r>
      <w:rPr>
        <w:sz w:val="18"/>
      </w:rPr>
      <w:t xml:space="preserve">Nagusia 24, 20249 Itsasondo / 943 881 170 / </w:t>
    </w:r>
    <w:r>
      <w:rPr>
        <w:b/>
        <w:sz w:val="18"/>
      </w:rPr>
      <w:t xml:space="preserve">www.itsasondo.eus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9732" w14:textId="77777777" w:rsidR="00975A7C" w:rsidRDefault="00975A7C">
      <w:pPr>
        <w:spacing w:after="0" w:line="240" w:lineRule="auto"/>
      </w:pPr>
      <w:r>
        <w:separator/>
      </w:r>
    </w:p>
  </w:footnote>
  <w:footnote w:type="continuationSeparator" w:id="0">
    <w:p w14:paraId="3E421D80" w14:textId="77777777" w:rsidR="00975A7C" w:rsidRDefault="0097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2D2A" w14:textId="77777777" w:rsidR="004E4592" w:rsidRDefault="00975A7C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FF8992D" wp14:editId="6F191A74">
          <wp:simplePos x="0" y="0"/>
          <wp:positionH relativeFrom="page">
            <wp:posOffset>5441950</wp:posOffset>
          </wp:positionH>
          <wp:positionV relativeFrom="page">
            <wp:posOffset>633095</wp:posOffset>
          </wp:positionV>
          <wp:extent cx="1058545" cy="896620"/>
          <wp:effectExtent l="0" t="0" r="0" b="0"/>
          <wp:wrapSquare wrapText="bothSides"/>
          <wp:docPr id="3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3118BC71" wp14:editId="1D020EE6">
          <wp:simplePos x="0" y="0"/>
          <wp:positionH relativeFrom="page">
            <wp:posOffset>914400</wp:posOffset>
          </wp:positionH>
          <wp:positionV relativeFrom="page">
            <wp:posOffset>448310</wp:posOffset>
          </wp:positionV>
          <wp:extent cx="1077595" cy="1219200"/>
          <wp:effectExtent l="0" t="0" r="0" b="0"/>
          <wp:wrapSquare wrapText="bothSides"/>
          <wp:docPr id="4" name="Picture 3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Picture 3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5397" w14:textId="77777777" w:rsidR="004E4592" w:rsidRDefault="00975A7C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3024AD8" wp14:editId="39FE30A3">
          <wp:simplePos x="0" y="0"/>
          <wp:positionH relativeFrom="page">
            <wp:posOffset>5441950</wp:posOffset>
          </wp:positionH>
          <wp:positionV relativeFrom="page">
            <wp:posOffset>633095</wp:posOffset>
          </wp:positionV>
          <wp:extent cx="1058545" cy="896620"/>
          <wp:effectExtent l="0" t="0" r="0" b="0"/>
          <wp:wrapSquare wrapText="bothSides"/>
          <wp:docPr id="5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679CB3E8" wp14:editId="01AEAB32">
          <wp:simplePos x="0" y="0"/>
          <wp:positionH relativeFrom="page">
            <wp:posOffset>914400</wp:posOffset>
          </wp:positionH>
          <wp:positionV relativeFrom="page">
            <wp:posOffset>448310</wp:posOffset>
          </wp:positionV>
          <wp:extent cx="1077595" cy="1219200"/>
          <wp:effectExtent l="0" t="0" r="0" b="0"/>
          <wp:wrapSquare wrapText="bothSides"/>
          <wp:docPr id="6" name="Picture 3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Picture 3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4957" w14:textId="77777777" w:rsidR="004E4592" w:rsidRDefault="00975A7C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4EA3D76" wp14:editId="4944965C">
          <wp:simplePos x="0" y="0"/>
          <wp:positionH relativeFrom="page">
            <wp:posOffset>5441950</wp:posOffset>
          </wp:positionH>
          <wp:positionV relativeFrom="page">
            <wp:posOffset>633095</wp:posOffset>
          </wp:positionV>
          <wp:extent cx="1058545" cy="896620"/>
          <wp:effectExtent l="0" t="0" r="0" b="0"/>
          <wp:wrapSquare wrapText="bothSides"/>
          <wp:docPr id="7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674924A1" wp14:editId="7C0F3330">
          <wp:simplePos x="0" y="0"/>
          <wp:positionH relativeFrom="page">
            <wp:posOffset>914400</wp:posOffset>
          </wp:positionH>
          <wp:positionV relativeFrom="page">
            <wp:posOffset>448310</wp:posOffset>
          </wp:positionV>
          <wp:extent cx="1077595" cy="1219200"/>
          <wp:effectExtent l="0" t="0" r="0" b="0"/>
          <wp:wrapSquare wrapText="bothSides"/>
          <wp:docPr id="8" name="Picture 3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Picture 3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15C"/>
    <w:multiLevelType w:val="hybridMultilevel"/>
    <w:tmpl w:val="C3C02FD0"/>
    <w:lvl w:ilvl="0" w:tplc="AB68555E">
      <w:start w:val="1"/>
      <w:numFmt w:val="bullet"/>
      <w:lvlText w:val="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0B06E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640F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083A8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E5F9A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264BC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21766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63996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0F6C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E76C7"/>
    <w:multiLevelType w:val="hybridMultilevel"/>
    <w:tmpl w:val="03341CD0"/>
    <w:lvl w:ilvl="0" w:tplc="B83C8F8A">
      <w:start w:val="1"/>
      <w:numFmt w:val="bullet"/>
      <w:lvlText w:val="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2048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05E58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292D0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AABCA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EB398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EF9C6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0A714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C5AC0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541A85"/>
    <w:multiLevelType w:val="hybridMultilevel"/>
    <w:tmpl w:val="3F504E72"/>
    <w:lvl w:ilvl="0" w:tplc="D9261FF4">
      <w:start w:val="1"/>
      <w:numFmt w:val="bullet"/>
      <w:lvlText w:val="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C2792">
      <w:start w:val="1"/>
      <w:numFmt w:val="decimal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27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638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EE4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C9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437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600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AA7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B6744"/>
    <w:multiLevelType w:val="hybridMultilevel"/>
    <w:tmpl w:val="B4B890CA"/>
    <w:lvl w:ilvl="0" w:tplc="386042EA">
      <w:start w:val="1"/>
      <w:numFmt w:val="bullet"/>
      <w:lvlText w:val="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566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AEB9C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676F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8120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45DE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EF8FC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CD294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7676E2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C1C3A"/>
    <w:multiLevelType w:val="hybridMultilevel"/>
    <w:tmpl w:val="4C40C5F6"/>
    <w:lvl w:ilvl="0" w:tplc="163683C4">
      <w:start w:val="1"/>
      <w:numFmt w:val="bullet"/>
      <w:lvlText w:val="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E89B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60C6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2BCD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E6BCC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AC8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709C98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8FE7A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85AF2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92"/>
    <w:rsid w:val="000A142C"/>
    <w:rsid w:val="004E4592"/>
    <w:rsid w:val="009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A532F"/>
  <w15:docId w15:val="{3AF9713A-092E-0544-B6D3-3BC54B3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59" w:lineRule="auto"/>
      <w:ind w:left="370" w:right="7" w:hanging="370"/>
      <w:jc w:val="both"/>
    </w:pPr>
    <w:rPr>
      <w:rFonts w:ascii="Arial" w:eastAsia="Arial" w:hAnsi="Arial" w:cs="Arial"/>
      <w:color w:val="000000"/>
      <w:sz w:val="22"/>
      <w:lang w:val="eu-ES" w:eastAsia="eu-ES" w:bidi="eu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E6E64C"/>
      <w:spacing w:after="352" w:line="260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1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2"/>
      <w:shd w:val="clear" w:color="auto" w:fill="FFD3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  <w:shd w:val="clear" w:color="auto" w:fill="FFD3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ZINEGOTZIEN BILERA</dc:title>
  <dc:subject/>
  <dc:creator>Inventario</dc:creator>
  <cp:keywords/>
  <cp:lastModifiedBy>Microsoft Office User</cp:lastModifiedBy>
  <cp:revision>2</cp:revision>
  <dcterms:created xsi:type="dcterms:W3CDTF">2021-09-07T06:30:00Z</dcterms:created>
  <dcterms:modified xsi:type="dcterms:W3CDTF">2021-09-07T06:30:00Z</dcterms:modified>
</cp:coreProperties>
</file>